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89" w:rsidRDefault="00AE588A" w:rsidP="00AB2389">
      <w:pPr>
        <w:spacing w:afterLines="100"/>
        <w:jc w:val="center"/>
        <w:rPr>
          <w:rFonts w:ascii="方正小标宋简体" w:eastAsia="方正小标宋简体" w:hint="eastAsia"/>
          <w:b/>
          <w:color w:val="00B050"/>
          <w:sz w:val="30"/>
          <w:szCs w:val="30"/>
        </w:rPr>
      </w:pPr>
      <w:r>
        <w:rPr>
          <w:rFonts w:ascii="方正小标宋简体" w:eastAsia="方正小标宋简体" w:hint="eastAsia"/>
          <w:b/>
          <w:color w:val="00B050"/>
          <w:sz w:val="30"/>
          <w:szCs w:val="30"/>
        </w:rPr>
        <w:t>城市实景三维与智能安全监测安徽省联合共建学科重点实验室</w:t>
      </w:r>
    </w:p>
    <w:p w:rsidR="00AE588A" w:rsidRDefault="00AE588A" w:rsidP="00AB2389">
      <w:pPr>
        <w:spacing w:afterLines="100"/>
        <w:jc w:val="center"/>
        <w:rPr>
          <w:rFonts w:ascii="方正小标宋简体" w:eastAsia="方正小标宋简体"/>
          <w:b/>
          <w:color w:val="00B050"/>
          <w:sz w:val="30"/>
          <w:szCs w:val="30"/>
        </w:rPr>
      </w:pPr>
      <w:r>
        <w:rPr>
          <w:rFonts w:ascii="方正小标宋简体" w:eastAsia="方正小标宋简体" w:hint="eastAsia"/>
          <w:b/>
          <w:color w:val="00B050"/>
          <w:sz w:val="30"/>
          <w:szCs w:val="30"/>
        </w:rPr>
        <w:t>开放</w:t>
      </w:r>
      <w:r w:rsidR="00AB2389">
        <w:rPr>
          <w:rFonts w:ascii="方正小标宋简体" w:eastAsia="方正小标宋简体" w:hint="eastAsia"/>
          <w:b/>
          <w:color w:val="00B050"/>
          <w:sz w:val="30"/>
          <w:szCs w:val="30"/>
        </w:rPr>
        <w:t>基金</w:t>
      </w:r>
      <w:r>
        <w:rPr>
          <w:rFonts w:ascii="方正小标宋简体" w:eastAsia="方正小标宋简体" w:hint="eastAsia"/>
          <w:b/>
          <w:color w:val="00B050"/>
          <w:sz w:val="30"/>
          <w:szCs w:val="30"/>
        </w:rPr>
        <w:t>管理办法</w:t>
      </w:r>
    </w:p>
    <w:p w:rsidR="00AE588A" w:rsidRDefault="00AE588A" w:rsidP="00AE588A">
      <w:pPr>
        <w:spacing w:line="500" w:lineRule="exact"/>
        <w:ind w:firstLineChars="200" w:firstLine="560"/>
        <w:rPr>
          <w:sz w:val="28"/>
          <w:szCs w:val="28"/>
        </w:rPr>
      </w:pPr>
      <w:r>
        <w:rPr>
          <w:rFonts w:hint="eastAsia"/>
          <w:sz w:val="28"/>
          <w:szCs w:val="28"/>
        </w:rPr>
        <w:t>为了加强“城市实景三维与智能安全监测安徽省联合共建学科重点实验室”（以下简称“重点实验室”）开放基金项目、任务书、开放课题经费的管理工作，确保开放目标的实现，结合重点实验室实际情况，特制定本办法。</w:t>
      </w:r>
    </w:p>
    <w:p w:rsidR="00AE588A" w:rsidRDefault="00AE588A" w:rsidP="00AE588A">
      <w:pPr>
        <w:pStyle w:val="1"/>
        <w:spacing w:before="60" w:after="60" w:line="240" w:lineRule="auto"/>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1  设立开放经费的目的</w:t>
      </w:r>
    </w:p>
    <w:p w:rsidR="00AE588A" w:rsidRDefault="00AE588A" w:rsidP="00AE588A">
      <w:pPr>
        <w:spacing w:line="500" w:lineRule="exact"/>
        <w:ind w:firstLineChars="200" w:firstLine="560"/>
        <w:rPr>
          <w:sz w:val="28"/>
          <w:szCs w:val="28"/>
        </w:rPr>
      </w:pPr>
      <w:r>
        <w:rPr>
          <w:rFonts w:hint="eastAsia"/>
          <w:sz w:val="28"/>
          <w:szCs w:val="28"/>
        </w:rPr>
        <w:t xml:space="preserve">为了建立“开放、流动、联合、竞争”的运行机制，促进重点实验室的全面开放，专门设立“城市实景三维与智能安全监测安徽省联合共建学科重点实验室（安徽前锦空间信息科技有限公司）”开放基金，其目的在于：创造良好的科研条件和学术环境，吸引、聚集国内外优秀学者在本学科的前沿领域，开展高水平的基础研究和应用研究，促进新兴、交叉学科的形成和发展，培养高层次科技人才；进一步提高重点实验室先进仪器设备的使用率，实现资源共享，推动合作研究；充分发挥重点实验室的积极性，提高建设效益，使重点实验室逐步发展成科研中心，高层次人才中心、学术交流中心和高新技术辐射中心。　</w:t>
      </w:r>
    </w:p>
    <w:p w:rsidR="00AE588A" w:rsidRDefault="00AE588A" w:rsidP="00AE588A">
      <w:pPr>
        <w:pStyle w:val="1"/>
        <w:spacing w:before="60" w:after="60" w:line="240" w:lineRule="auto"/>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  开放课题的申报与审批</w:t>
      </w:r>
    </w:p>
    <w:p w:rsidR="00AE588A" w:rsidRDefault="00AE588A" w:rsidP="00AE588A">
      <w:pPr>
        <w:pStyle w:val="2"/>
        <w:spacing w:before="60" w:after="60" w:line="24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2.1 申报对象及规定</w:t>
      </w:r>
    </w:p>
    <w:p w:rsidR="00AE588A" w:rsidRDefault="00AE588A" w:rsidP="00AE588A">
      <w:pPr>
        <w:spacing w:line="500" w:lineRule="exact"/>
        <w:ind w:firstLineChars="200" w:firstLine="560"/>
        <w:rPr>
          <w:sz w:val="28"/>
          <w:szCs w:val="28"/>
        </w:rPr>
      </w:pPr>
      <w:r>
        <w:rPr>
          <w:rFonts w:hint="eastAsia"/>
          <w:sz w:val="28"/>
          <w:szCs w:val="28"/>
        </w:rPr>
        <w:t>1</w:t>
      </w:r>
      <w:r>
        <w:rPr>
          <w:rFonts w:hint="eastAsia"/>
          <w:sz w:val="28"/>
          <w:szCs w:val="28"/>
        </w:rPr>
        <w:t>）重点实验室开放课题对国内外、实验室内外本学科和相关学科的科学研究人员实行全方位开放。凡国内外科研机构或高等院校的科研人员、教师、博士研究生及博士后人员，均可在本实验室开放基金指南（以下简称“指南”）范围内提出课题申请，经学术委员会和专家评审、批准，即可在申请人员所在单位或到本实验室进行独立或合作研究。</w:t>
      </w:r>
    </w:p>
    <w:p w:rsidR="00AE588A" w:rsidRDefault="00AE588A" w:rsidP="00AE588A">
      <w:pPr>
        <w:spacing w:line="500" w:lineRule="exact"/>
        <w:ind w:firstLineChars="200" w:firstLine="560"/>
        <w:rPr>
          <w:sz w:val="28"/>
          <w:szCs w:val="28"/>
        </w:rPr>
      </w:pPr>
      <w:r>
        <w:rPr>
          <w:rFonts w:hint="eastAsia"/>
          <w:sz w:val="28"/>
          <w:szCs w:val="28"/>
        </w:rPr>
        <w:t>2</w:t>
      </w:r>
      <w:r>
        <w:rPr>
          <w:rFonts w:hint="eastAsia"/>
          <w:sz w:val="28"/>
          <w:szCs w:val="28"/>
        </w:rPr>
        <w:t>）接受国内外自带科研经费和项目的研究人员来本实验室进行科研工</w:t>
      </w:r>
      <w:r>
        <w:rPr>
          <w:rFonts w:hint="eastAsia"/>
          <w:sz w:val="28"/>
          <w:szCs w:val="28"/>
        </w:rPr>
        <w:lastRenderedPageBreak/>
        <w:t>作，其研究课题由实验室主任或常务副主任批准后列入实验室研究计划。也接受国内外科研人员参加已列入实验室研究计划的课题研究，科研人员提出申请，由实验室主任或常务副主任批准后即可前来工作。</w:t>
      </w:r>
    </w:p>
    <w:p w:rsidR="00AE588A" w:rsidRDefault="00AE588A" w:rsidP="00AE588A">
      <w:pPr>
        <w:spacing w:line="500" w:lineRule="exact"/>
        <w:ind w:firstLineChars="200" w:firstLine="560"/>
        <w:rPr>
          <w:sz w:val="28"/>
          <w:szCs w:val="28"/>
        </w:rPr>
      </w:pPr>
      <w:r>
        <w:rPr>
          <w:rFonts w:hint="eastAsia"/>
          <w:sz w:val="28"/>
          <w:szCs w:val="28"/>
        </w:rPr>
        <w:t>3</w:t>
      </w:r>
      <w:r>
        <w:rPr>
          <w:rFonts w:hint="eastAsia"/>
          <w:sz w:val="28"/>
          <w:szCs w:val="28"/>
        </w:rPr>
        <w:t>）申报的每个开放课题经费一般为</w:t>
      </w:r>
      <w:r>
        <w:rPr>
          <w:rFonts w:hint="eastAsia"/>
          <w:sz w:val="28"/>
          <w:szCs w:val="28"/>
        </w:rPr>
        <w:t>1~2</w:t>
      </w:r>
      <w:r>
        <w:rPr>
          <w:rFonts w:hint="eastAsia"/>
          <w:sz w:val="28"/>
          <w:szCs w:val="28"/>
        </w:rPr>
        <w:t>万元，具体金额根据课题的研究内容、研究时间及研究人员的情况而定，开放课题的研究周期一般限于</w:t>
      </w:r>
      <w:r>
        <w:rPr>
          <w:rFonts w:hint="eastAsia"/>
          <w:sz w:val="28"/>
          <w:szCs w:val="28"/>
        </w:rPr>
        <w:t>2</w:t>
      </w:r>
      <w:r>
        <w:rPr>
          <w:rFonts w:hint="eastAsia"/>
          <w:sz w:val="28"/>
          <w:szCs w:val="28"/>
        </w:rPr>
        <w:t>年以内。自带经费者可不受上述条件限制。</w:t>
      </w:r>
    </w:p>
    <w:p w:rsidR="00AE588A" w:rsidRDefault="00AE588A" w:rsidP="00AE588A">
      <w:pPr>
        <w:pStyle w:val="2"/>
        <w:spacing w:before="60" w:after="60" w:line="24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2.2 申报程序和要求</w:t>
      </w:r>
    </w:p>
    <w:p w:rsidR="00AE588A" w:rsidRDefault="00AE588A" w:rsidP="00AE588A">
      <w:pPr>
        <w:spacing w:line="500" w:lineRule="exact"/>
        <w:ind w:firstLineChars="200" w:firstLine="560"/>
        <w:rPr>
          <w:sz w:val="28"/>
          <w:szCs w:val="28"/>
        </w:rPr>
      </w:pPr>
      <w:r>
        <w:rPr>
          <w:rFonts w:hint="eastAsia"/>
          <w:sz w:val="28"/>
          <w:szCs w:val="28"/>
        </w:rPr>
        <w:t>开放课题计划每年申报一次，重点实验室根据任务目标、研究方向和实验室的装备条件，定期公开发布开放课题指南。</w:t>
      </w:r>
    </w:p>
    <w:p w:rsidR="00AE588A" w:rsidRDefault="00AE588A" w:rsidP="00AE588A">
      <w:pPr>
        <w:spacing w:line="500" w:lineRule="exact"/>
        <w:ind w:firstLineChars="200" w:firstLine="560"/>
        <w:rPr>
          <w:sz w:val="28"/>
          <w:szCs w:val="28"/>
        </w:rPr>
      </w:pPr>
      <w:r>
        <w:rPr>
          <w:rFonts w:hint="eastAsia"/>
          <w:sz w:val="28"/>
          <w:szCs w:val="28"/>
        </w:rPr>
        <w:t>1</w:t>
      </w:r>
      <w:r>
        <w:rPr>
          <w:rFonts w:hint="eastAsia"/>
          <w:sz w:val="28"/>
          <w:szCs w:val="28"/>
        </w:rPr>
        <w:t>）申请者经所在单位同意后，填写《城市实景三维与智能安全监测安徽省联合共建学科重点实验室开放基金项目申请书》（以下简称《申请书》）。具有高级职称的科技人员或已获得博士学位的人员申请不需要推荐，其他科技人员</w:t>
      </w:r>
      <w:r>
        <w:rPr>
          <w:rFonts w:hint="eastAsia"/>
          <w:sz w:val="28"/>
          <w:szCs w:val="28"/>
        </w:rPr>
        <w:t>(</w:t>
      </w:r>
      <w:r>
        <w:rPr>
          <w:rFonts w:hint="eastAsia"/>
          <w:sz w:val="28"/>
          <w:szCs w:val="28"/>
        </w:rPr>
        <w:t>讲师、助研等</w:t>
      </w:r>
      <w:r>
        <w:rPr>
          <w:rFonts w:hint="eastAsia"/>
          <w:sz w:val="28"/>
          <w:szCs w:val="28"/>
        </w:rPr>
        <w:t>)</w:t>
      </w:r>
      <w:r>
        <w:rPr>
          <w:rFonts w:hint="eastAsia"/>
          <w:sz w:val="28"/>
          <w:szCs w:val="28"/>
        </w:rPr>
        <w:t>申请需有两名高级科技人员推荐。申请者以重点实验室发布的“开放基金项目申请指南”为主要申请依据，申请者需在截止日前填写并向本实验室提交《申请书》，一式</w:t>
      </w:r>
      <w:r>
        <w:rPr>
          <w:rFonts w:hint="eastAsia"/>
          <w:sz w:val="28"/>
          <w:szCs w:val="28"/>
        </w:rPr>
        <w:t>3</w:t>
      </w:r>
      <w:r>
        <w:rPr>
          <w:rFonts w:hint="eastAsia"/>
          <w:sz w:val="28"/>
          <w:szCs w:val="28"/>
        </w:rPr>
        <w:t>份，电子文档</w:t>
      </w:r>
      <w:r>
        <w:rPr>
          <w:rFonts w:hint="eastAsia"/>
          <w:sz w:val="28"/>
          <w:szCs w:val="28"/>
        </w:rPr>
        <w:t>1</w:t>
      </w:r>
      <w:r>
        <w:rPr>
          <w:rFonts w:hint="eastAsia"/>
          <w:sz w:val="28"/>
          <w:szCs w:val="28"/>
        </w:rPr>
        <w:t>份。</w:t>
      </w:r>
    </w:p>
    <w:p w:rsidR="00AE588A" w:rsidRDefault="00AE588A" w:rsidP="00AE588A">
      <w:pPr>
        <w:spacing w:line="500" w:lineRule="exact"/>
        <w:ind w:firstLineChars="200" w:firstLine="560"/>
        <w:rPr>
          <w:sz w:val="28"/>
          <w:szCs w:val="28"/>
        </w:rPr>
      </w:pPr>
      <w:r>
        <w:rPr>
          <w:rFonts w:hint="eastAsia"/>
          <w:sz w:val="28"/>
          <w:szCs w:val="28"/>
        </w:rPr>
        <w:t>2</w:t>
      </w:r>
      <w:r>
        <w:rPr>
          <w:rFonts w:hint="eastAsia"/>
          <w:sz w:val="28"/>
          <w:szCs w:val="28"/>
        </w:rPr>
        <w:t>）开放基金资助项目由实验室学术委员会和专家组织评审，或由学术委员会通过通信评议确定。本着择优资助、有利于学科发展的原则，资助意义重大的基础和应用基础研究项目。</w:t>
      </w:r>
    </w:p>
    <w:p w:rsidR="00AE588A" w:rsidRDefault="00AE588A" w:rsidP="00AE588A">
      <w:pPr>
        <w:pStyle w:val="1"/>
        <w:spacing w:before="60" w:after="60" w:line="240" w:lineRule="auto"/>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3  开放课题的管理</w:t>
      </w:r>
    </w:p>
    <w:p w:rsidR="00AE588A" w:rsidRDefault="00AE588A" w:rsidP="00AE588A">
      <w:pPr>
        <w:spacing w:line="500" w:lineRule="exact"/>
        <w:ind w:firstLineChars="200" w:firstLine="560"/>
        <w:rPr>
          <w:sz w:val="28"/>
          <w:szCs w:val="28"/>
        </w:rPr>
      </w:pPr>
      <w:r>
        <w:rPr>
          <w:rFonts w:hint="eastAsia"/>
          <w:sz w:val="28"/>
          <w:szCs w:val="28"/>
        </w:rPr>
        <w:t>1</w:t>
      </w:r>
      <w:r>
        <w:rPr>
          <w:rFonts w:hint="eastAsia"/>
          <w:sz w:val="28"/>
          <w:szCs w:val="28"/>
        </w:rPr>
        <w:t>）实验室开放基金资助的课题，必须按《申请书》中所列的研究计划、科研任务和预期目标严格执行，开放基金开始后一年内提交执行情况报告，根据进展情况提交学术论文、研究总结，必须按时结题，接受验收。</w:t>
      </w:r>
    </w:p>
    <w:p w:rsidR="00AE588A" w:rsidRDefault="00AE588A" w:rsidP="00AE588A">
      <w:pPr>
        <w:spacing w:line="500" w:lineRule="exact"/>
        <w:ind w:firstLineChars="200" w:firstLine="560"/>
        <w:rPr>
          <w:sz w:val="28"/>
          <w:szCs w:val="28"/>
        </w:rPr>
      </w:pPr>
      <w:r>
        <w:rPr>
          <w:rFonts w:hint="eastAsia"/>
          <w:sz w:val="28"/>
          <w:szCs w:val="28"/>
        </w:rPr>
        <w:t>2</w:t>
      </w:r>
      <w:r>
        <w:rPr>
          <w:rFonts w:hint="eastAsia"/>
          <w:sz w:val="28"/>
          <w:szCs w:val="28"/>
        </w:rPr>
        <w:t>）实验室主任或常务副主任将经常检查开放基金课题进展情况，如发现原研究计划不能实现时，实验室主任有权调整、暂停或取消不能实现原计划目标的课题。</w:t>
      </w:r>
    </w:p>
    <w:p w:rsidR="00AE588A" w:rsidRDefault="00AE588A" w:rsidP="00AE588A">
      <w:pPr>
        <w:spacing w:line="500" w:lineRule="exact"/>
        <w:ind w:firstLineChars="200" w:firstLine="560"/>
        <w:rPr>
          <w:sz w:val="28"/>
          <w:szCs w:val="28"/>
        </w:rPr>
      </w:pPr>
      <w:r>
        <w:rPr>
          <w:rFonts w:hint="eastAsia"/>
          <w:sz w:val="28"/>
          <w:szCs w:val="28"/>
        </w:rPr>
        <w:t>3</w:t>
      </w:r>
      <w:r>
        <w:rPr>
          <w:rFonts w:hint="eastAsia"/>
          <w:sz w:val="28"/>
          <w:szCs w:val="28"/>
        </w:rPr>
        <w:t>）使用实验室开放基金资助课题产生的成果，由重点实验室与研究者所在单位共享，由学术委员会组织评审，成果鉴定和报奖由本实验室与研</w:t>
      </w:r>
      <w:r>
        <w:rPr>
          <w:rFonts w:hint="eastAsia"/>
          <w:sz w:val="28"/>
          <w:szCs w:val="28"/>
        </w:rPr>
        <w:lastRenderedPageBreak/>
        <w:t>究人员所在单位共同办理。发表论文、申报奖励等均要注明重点实验室和研究者所在单位名称，署名统一格式为：“城市实景三维与智能安全监测安徽省联合共建学科重点实验室（安徽前锦空间信息科技有限公司）”和“……单位”（并列），并将成果复制本送重点实验室存档。自带经费的课题成果归本单位所有，申报成果时必须注明重点实验室名称。当因为特殊原因，不能署名重点实验室时，应明确注明“城市实景三维与智能安全监测安徽省联合共建学科重点实验室（安徽前锦空间信息科技有限公司）开放基金资助项目”，在成果鉴定和申报各类奖励时，也应该做出明确标注，对本基金项目所取得的专利、经济效益等其它成果应该在项目进展报告和总结报告中汇报。</w:t>
      </w:r>
    </w:p>
    <w:p w:rsidR="00AE588A" w:rsidRDefault="00AE588A" w:rsidP="00AE588A">
      <w:pPr>
        <w:spacing w:line="500" w:lineRule="exact"/>
        <w:ind w:firstLineChars="200" w:firstLine="560"/>
        <w:rPr>
          <w:sz w:val="28"/>
          <w:szCs w:val="28"/>
        </w:rPr>
      </w:pPr>
      <w:r>
        <w:rPr>
          <w:rFonts w:hint="eastAsia"/>
          <w:sz w:val="28"/>
          <w:szCs w:val="28"/>
        </w:rPr>
        <w:t>4</w:t>
      </w:r>
      <w:r>
        <w:rPr>
          <w:rFonts w:hint="eastAsia"/>
          <w:sz w:val="28"/>
          <w:szCs w:val="28"/>
        </w:rPr>
        <w:t>）资助课题结束后，必须向实验室提交下列资料：</w:t>
      </w:r>
    </w:p>
    <w:p w:rsidR="00AE588A" w:rsidRDefault="00AE588A" w:rsidP="00AE588A">
      <w:pPr>
        <w:spacing w:line="50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rPr>
        <w:t xml:space="preserve"> </w:t>
      </w:r>
      <w:r>
        <w:rPr>
          <w:rFonts w:hint="eastAsia"/>
          <w:sz w:val="28"/>
          <w:szCs w:val="28"/>
        </w:rPr>
        <w:t>研究工作总结报告。</w:t>
      </w:r>
    </w:p>
    <w:p w:rsidR="00AE588A" w:rsidRDefault="00AE588A" w:rsidP="00AE588A">
      <w:pPr>
        <w:spacing w:line="5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rPr>
        <w:t xml:space="preserve"> </w:t>
      </w:r>
      <w:r>
        <w:rPr>
          <w:rFonts w:hint="eastAsia"/>
          <w:sz w:val="28"/>
          <w:szCs w:val="28"/>
        </w:rPr>
        <w:t>学术成果（包括署名重点实验室或重点实验室开放基金资助的学术论文、专著、专利、获奖等的复印件）及研究报告。</w:t>
      </w:r>
    </w:p>
    <w:p w:rsidR="00AE588A" w:rsidRDefault="00AE588A" w:rsidP="00AE588A">
      <w:pPr>
        <w:spacing w:line="5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研究工作中的各种原始技术档案（数据记录、图纸、底片和资料等）及目录清单。</w:t>
      </w:r>
    </w:p>
    <w:p w:rsidR="00AE588A" w:rsidRDefault="00AE588A" w:rsidP="00AE588A">
      <w:pPr>
        <w:spacing w:line="500" w:lineRule="exact"/>
        <w:ind w:firstLineChars="200" w:firstLine="560"/>
        <w:rPr>
          <w:sz w:val="28"/>
          <w:szCs w:val="28"/>
        </w:rPr>
      </w:pPr>
      <w:r>
        <w:rPr>
          <w:rFonts w:hint="eastAsia"/>
          <w:sz w:val="28"/>
          <w:szCs w:val="28"/>
        </w:rPr>
        <w:t>5</w:t>
      </w:r>
      <w:r>
        <w:rPr>
          <w:rFonts w:hint="eastAsia"/>
          <w:sz w:val="28"/>
          <w:szCs w:val="28"/>
        </w:rPr>
        <w:t>）实验室行政管理机构对实验室开放基金使用情况定期检查和监督。凡是来本实验室参加已被列入本实验室研究项目的人员，均应按计划向本实验室提交阶段工作总结和论文。项目完成后，按上述要求进行研究工作的资料归档工作。</w:t>
      </w:r>
    </w:p>
    <w:p w:rsidR="00AE588A" w:rsidRDefault="00AE588A" w:rsidP="00AE588A">
      <w:pPr>
        <w:pStyle w:val="1"/>
        <w:spacing w:before="60" w:after="60" w:line="240" w:lineRule="auto"/>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4  开放经费的使用</w:t>
      </w:r>
    </w:p>
    <w:p w:rsidR="00AE588A" w:rsidRDefault="00AE588A" w:rsidP="00AE588A">
      <w:pPr>
        <w:spacing w:line="500" w:lineRule="exact"/>
        <w:ind w:firstLineChars="200" w:firstLine="560"/>
        <w:rPr>
          <w:sz w:val="28"/>
          <w:szCs w:val="28"/>
        </w:rPr>
      </w:pPr>
      <w:r>
        <w:rPr>
          <w:rFonts w:hint="eastAsia"/>
          <w:sz w:val="28"/>
          <w:szCs w:val="28"/>
        </w:rPr>
        <w:t>1</w:t>
      </w:r>
      <w:r>
        <w:rPr>
          <w:rFonts w:hint="eastAsia"/>
          <w:sz w:val="28"/>
          <w:szCs w:val="28"/>
        </w:rPr>
        <w:t>）本实验室研究人员的开放基金研究费用实报实销；其中</w:t>
      </w:r>
      <w:r>
        <w:rPr>
          <w:rFonts w:hint="eastAsia"/>
          <w:sz w:val="28"/>
          <w:szCs w:val="28"/>
        </w:rPr>
        <w:t>70%</w:t>
      </w:r>
      <w:r>
        <w:rPr>
          <w:rFonts w:hint="eastAsia"/>
          <w:sz w:val="28"/>
          <w:szCs w:val="28"/>
        </w:rPr>
        <w:t>的经费由课题负责人按照有关科技经费报销的管理规定签字报销，单独核算，专款专用；</w:t>
      </w:r>
      <w:r>
        <w:rPr>
          <w:rFonts w:hint="eastAsia"/>
          <w:sz w:val="28"/>
          <w:szCs w:val="28"/>
        </w:rPr>
        <w:t>30%</w:t>
      </w:r>
      <w:r>
        <w:rPr>
          <w:rFonts w:hint="eastAsia"/>
          <w:sz w:val="28"/>
          <w:szCs w:val="28"/>
        </w:rPr>
        <w:t>留重点实验室，用于实验室日常开支。</w:t>
      </w:r>
    </w:p>
    <w:p w:rsidR="00AE588A" w:rsidRDefault="00AE588A" w:rsidP="00AE588A">
      <w:pPr>
        <w:spacing w:line="500" w:lineRule="exact"/>
        <w:ind w:firstLineChars="200" w:firstLine="560"/>
        <w:rPr>
          <w:sz w:val="28"/>
          <w:szCs w:val="28"/>
        </w:rPr>
      </w:pPr>
      <w:r>
        <w:rPr>
          <w:rFonts w:hint="eastAsia"/>
          <w:sz w:val="28"/>
          <w:szCs w:val="28"/>
        </w:rPr>
        <w:t>2</w:t>
      </w:r>
      <w:r>
        <w:rPr>
          <w:rFonts w:hint="eastAsia"/>
          <w:sz w:val="28"/>
          <w:szCs w:val="28"/>
        </w:rPr>
        <w:t>）对于本实验室外研究人员负责的课题，开放经费的</w:t>
      </w:r>
      <w:r>
        <w:rPr>
          <w:rFonts w:hint="eastAsia"/>
          <w:sz w:val="28"/>
          <w:szCs w:val="28"/>
        </w:rPr>
        <w:t>70%</w:t>
      </w:r>
      <w:r>
        <w:rPr>
          <w:rFonts w:hint="eastAsia"/>
          <w:sz w:val="28"/>
          <w:szCs w:val="28"/>
        </w:rPr>
        <w:t>直接拨至课题研究人员的所在单位，由课题负责人按照有关科技经费报销的管理规定签字报销，单独核算，专款专用；</w:t>
      </w:r>
      <w:r>
        <w:rPr>
          <w:rFonts w:hint="eastAsia"/>
          <w:sz w:val="28"/>
          <w:szCs w:val="28"/>
        </w:rPr>
        <w:t>30%</w:t>
      </w:r>
      <w:r>
        <w:rPr>
          <w:rFonts w:hint="eastAsia"/>
          <w:sz w:val="28"/>
          <w:szCs w:val="28"/>
        </w:rPr>
        <w:t>留重点实验室，用于实验室日常开支。</w:t>
      </w:r>
    </w:p>
    <w:p w:rsidR="00AE588A" w:rsidRDefault="00AE588A" w:rsidP="00AE588A">
      <w:pPr>
        <w:spacing w:line="500" w:lineRule="exact"/>
        <w:ind w:firstLineChars="200" w:firstLine="560"/>
        <w:rPr>
          <w:sz w:val="28"/>
          <w:szCs w:val="28"/>
        </w:rPr>
      </w:pPr>
      <w:r>
        <w:rPr>
          <w:rFonts w:hint="eastAsia"/>
          <w:sz w:val="28"/>
          <w:szCs w:val="28"/>
        </w:rPr>
        <w:lastRenderedPageBreak/>
        <w:t>3</w:t>
      </w:r>
      <w:r>
        <w:rPr>
          <w:rFonts w:hint="eastAsia"/>
          <w:sz w:val="28"/>
          <w:szCs w:val="28"/>
        </w:rPr>
        <w:t>）开放基金原则上集中核算，一般安排在中期检查结束后或课题结题验收后进行。开放基金核算结余可跨年度使用，开放基金课题结题后的节余经费，可用于改善重点实验室工作条件。</w:t>
      </w:r>
    </w:p>
    <w:p w:rsidR="00AE588A" w:rsidRDefault="00AE588A" w:rsidP="00AE588A">
      <w:pPr>
        <w:spacing w:line="500" w:lineRule="exact"/>
        <w:ind w:firstLineChars="200" w:firstLine="560"/>
        <w:rPr>
          <w:sz w:val="28"/>
          <w:szCs w:val="28"/>
        </w:rPr>
      </w:pPr>
      <w:r>
        <w:rPr>
          <w:rFonts w:hint="eastAsia"/>
          <w:sz w:val="28"/>
          <w:szCs w:val="28"/>
        </w:rPr>
        <w:t>4</w:t>
      </w:r>
      <w:r>
        <w:rPr>
          <w:rFonts w:hint="eastAsia"/>
          <w:sz w:val="28"/>
          <w:szCs w:val="28"/>
        </w:rPr>
        <w:t>）在开放基金资助范围内，产生的费用实报实销，具体包括：</w:t>
      </w:r>
    </w:p>
    <w:p w:rsidR="00AE588A" w:rsidRDefault="00AE588A" w:rsidP="00AE588A">
      <w:pPr>
        <w:spacing w:line="50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）与资助课题直接有关的研究费用，包括材料费、加工费、考查调研费、试验费、专用小型仪器购置费、仪器设备租用费等。</w:t>
      </w:r>
    </w:p>
    <w:p w:rsidR="00AE588A" w:rsidRDefault="00AE588A" w:rsidP="00AE588A">
      <w:pPr>
        <w:spacing w:line="50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）学术活动费，包括参加国内学术会议和考查调研费。</w:t>
      </w:r>
    </w:p>
    <w:p w:rsidR="00AE588A" w:rsidRDefault="00AE588A" w:rsidP="00AE588A">
      <w:pPr>
        <w:spacing w:line="50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）研究人员的津贴及雇用临时工费用。</w:t>
      </w:r>
    </w:p>
    <w:p w:rsidR="00AE588A" w:rsidRDefault="00AE588A" w:rsidP="00AE588A">
      <w:pPr>
        <w:spacing w:line="50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）使用本实验室内部的公共设施和大型设备应交纳的维护运行费、折旧费。</w:t>
      </w:r>
    </w:p>
    <w:p w:rsidR="00AE588A" w:rsidRDefault="00AE588A" w:rsidP="00AE588A">
      <w:pPr>
        <w:spacing w:line="50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）水电费、管理费。</w:t>
      </w:r>
    </w:p>
    <w:p w:rsidR="00AE588A" w:rsidRDefault="00AE588A" w:rsidP="00AE588A">
      <w:pPr>
        <w:spacing w:line="50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）公共性开支，如出版费、国内会议费、评审费、行政办公费等。</w:t>
      </w:r>
    </w:p>
    <w:p w:rsidR="00AE588A" w:rsidRDefault="00AE588A" w:rsidP="00AE588A">
      <w:pPr>
        <w:spacing w:line="500" w:lineRule="exact"/>
        <w:ind w:firstLineChars="200" w:firstLine="560"/>
        <w:rPr>
          <w:sz w:val="28"/>
          <w:szCs w:val="28"/>
        </w:rPr>
      </w:pPr>
      <w:r>
        <w:rPr>
          <w:rFonts w:hint="eastAsia"/>
          <w:sz w:val="28"/>
          <w:szCs w:val="28"/>
        </w:rPr>
        <w:t>5</w:t>
      </w:r>
      <w:r>
        <w:rPr>
          <w:rFonts w:hint="eastAsia"/>
          <w:sz w:val="28"/>
          <w:szCs w:val="28"/>
        </w:rPr>
        <w:t>）自带科研经费和项目的研究人员来本实验室进行研究工作，可按优惠价格使用本实验室的仪器和设备，具体规定详见实验室仪器设备管理规定。科研经费的开支范围参照开放基金开支范围确定，经费的使用办法参照实验室科研经费管理办法执行。</w:t>
      </w:r>
    </w:p>
    <w:p w:rsidR="00AE588A" w:rsidRDefault="00AE588A" w:rsidP="00AE588A">
      <w:pPr>
        <w:spacing w:line="500" w:lineRule="exact"/>
        <w:ind w:firstLineChars="200" w:firstLine="560"/>
        <w:rPr>
          <w:sz w:val="28"/>
          <w:szCs w:val="28"/>
        </w:rPr>
      </w:pPr>
      <w:r>
        <w:rPr>
          <w:rFonts w:hint="eastAsia"/>
          <w:sz w:val="28"/>
          <w:szCs w:val="28"/>
        </w:rPr>
        <w:t>6</w:t>
      </w:r>
      <w:r>
        <w:rPr>
          <w:rFonts w:hint="eastAsia"/>
          <w:sz w:val="28"/>
          <w:szCs w:val="28"/>
        </w:rPr>
        <w:t>）本实验室可以提取基金总额的一定比例用于本实验室的相关培训和会议，以及开放基金项目评审与奖励。</w:t>
      </w:r>
    </w:p>
    <w:p w:rsidR="00AE588A" w:rsidRDefault="00AE588A" w:rsidP="00AE588A">
      <w:pPr>
        <w:spacing w:line="500" w:lineRule="exact"/>
        <w:ind w:firstLineChars="200" w:firstLine="560"/>
        <w:rPr>
          <w:sz w:val="28"/>
          <w:szCs w:val="28"/>
        </w:rPr>
      </w:pPr>
      <w:r>
        <w:rPr>
          <w:rFonts w:hint="eastAsia"/>
          <w:sz w:val="28"/>
          <w:szCs w:val="28"/>
        </w:rPr>
        <w:t>7</w:t>
      </w:r>
      <w:r>
        <w:rPr>
          <w:rFonts w:hint="eastAsia"/>
          <w:sz w:val="28"/>
          <w:szCs w:val="28"/>
        </w:rPr>
        <w:t>）来本实验室工作的国外学者、港澳及台湾科技人员，进本实验室的具体手续及待遇按国家有关规定办理。</w:t>
      </w:r>
    </w:p>
    <w:p w:rsidR="00AE588A" w:rsidRDefault="00AE588A" w:rsidP="00AE588A">
      <w:pPr>
        <w:pStyle w:val="1"/>
        <w:spacing w:before="60" w:after="60" w:line="240" w:lineRule="auto"/>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5  附则</w:t>
      </w:r>
    </w:p>
    <w:p w:rsidR="00AE588A" w:rsidRDefault="00AE588A" w:rsidP="00AE588A">
      <w:pPr>
        <w:spacing w:line="500" w:lineRule="exact"/>
        <w:ind w:firstLineChars="200" w:firstLine="560"/>
        <w:rPr>
          <w:sz w:val="28"/>
          <w:szCs w:val="28"/>
        </w:rPr>
      </w:pPr>
      <w:r>
        <w:rPr>
          <w:rFonts w:hint="eastAsia"/>
          <w:sz w:val="28"/>
          <w:szCs w:val="28"/>
        </w:rPr>
        <w:t>本办法解释权在城市实景三维与智能安全监测安徽省联合共建学科重点实验室（安徽前锦空间信息科技有限公司）。本办法自发布之日起实施。</w:t>
      </w:r>
    </w:p>
    <w:p w:rsidR="00AE588A" w:rsidRDefault="00AE588A" w:rsidP="00AE588A">
      <w:pPr>
        <w:spacing w:line="500" w:lineRule="exact"/>
        <w:ind w:firstLineChars="200" w:firstLine="560"/>
        <w:rPr>
          <w:sz w:val="28"/>
          <w:szCs w:val="28"/>
        </w:rPr>
      </w:pPr>
    </w:p>
    <w:p w:rsidR="00AE588A" w:rsidRPr="0039063C" w:rsidRDefault="00AE588A" w:rsidP="00AE588A">
      <w:pPr>
        <w:spacing w:line="400" w:lineRule="exact"/>
        <w:jc w:val="center"/>
        <w:rPr>
          <w:b/>
          <w:sz w:val="30"/>
          <w:szCs w:val="30"/>
        </w:rPr>
      </w:pPr>
      <w:r>
        <w:rPr>
          <w:rFonts w:hint="eastAsia"/>
          <w:b/>
          <w:sz w:val="24"/>
        </w:rPr>
        <w:t xml:space="preserve">                               </w:t>
      </w:r>
      <w:r w:rsidRPr="0039063C">
        <w:rPr>
          <w:rFonts w:eastAsia="方正小标宋简体"/>
          <w:b/>
          <w:bCs/>
          <w:sz w:val="30"/>
          <w:szCs w:val="30"/>
        </w:rPr>
        <w:t>二〇二三年八月</w:t>
      </w:r>
      <w:r w:rsidRPr="0039063C">
        <w:rPr>
          <w:rFonts w:hint="eastAsia"/>
          <w:b/>
          <w:sz w:val="30"/>
          <w:szCs w:val="30"/>
        </w:rPr>
        <w:t xml:space="preserve">  </w:t>
      </w:r>
    </w:p>
    <w:p w:rsidR="003A3F00" w:rsidRDefault="003A3F00"/>
    <w:sectPr w:rsidR="003A3F00" w:rsidSect="001E0EA1">
      <w:headerReference w:type="default" r:id="rId6"/>
      <w:pgSz w:w="11906" w:h="16838"/>
      <w:pgMar w:top="1417" w:right="1417"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EA1" w:rsidRDefault="001E0EA1" w:rsidP="001E0EA1">
      <w:r>
        <w:separator/>
      </w:r>
    </w:p>
  </w:endnote>
  <w:endnote w:type="continuationSeparator" w:id="1">
    <w:p w:rsidR="001E0EA1" w:rsidRDefault="001E0EA1" w:rsidP="001E0E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EA1" w:rsidRDefault="001E0EA1" w:rsidP="001E0EA1">
      <w:r>
        <w:separator/>
      </w:r>
    </w:p>
  </w:footnote>
  <w:footnote w:type="continuationSeparator" w:id="1">
    <w:p w:rsidR="001E0EA1" w:rsidRDefault="001E0EA1" w:rsidP="001E0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A1" w:rsidRDefault="001E0EA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588A"/>
    <w:rsid w:val="001E0EA1"/>
    <w:rsid w:val="0039063C"/>
    <w:rsid w:val="003A3F00"/>
    <w:rsid w:val="00AB2389"/>
    <w:rsid w:val="00AE58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88A"/>
    <w:pPr>
      <w:widowControl w:val="0"/>
      <w:jc w:val="both"/>
    </w:pPr>
    <w:rPr>
      <w:rFonts w:ascii="Times New Roman" w:eastAsia="宋体" w:hAnsi="Times New Roman" w:cs="Times New Roman"/>
      <w:szCs w:val="24"/>
    </w:rPr>
  </w:style>
  <w:style w:type="paragraph" w:styleId="1">
    <w:name w:val="heading 1"/>
    <w:basedOn w:val="a"/>
    <w:next w:val="a"/>
    <w:link w:val="1Char"/>
    <w:qFormat/>
    <w:rsid w:val="00AE588A"/>
    <w:pPr>
      <w:keepNext/>
      <w:keepLines/>
      <w:spacing w:before="340" w:after="330" w:line="576" w:lineRule="auto"/>
      <w:outlineLvl w:val="0"/>
    </w:pPr>
    <w:rPr>
      <w:b/>
      <w:kern w:val="44"/>
      <w:sz w:val="44"/>
    </w:rPr>
  </w:style>
  <w:style w:type="paragraph" w:styleId="2">
    <w:name w:val="heading 2"/>
    <w:basedOn w:val="a"/>
    <w:next w:val="a"/>
    <w:link w:val="2Char"/>
    <w:qFormat/>
    <w:rsid w:val="00AE588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E588A"/>
    <w:rPr>
      <w:rFonts w:ascii="Times New Roman" w:eastAsia="宋体" w:hAnsi="Times New Roman" w:cs="Times New Roman"/>
      <w:b/>
      <w:kern w:val="44"/>
      <w:sz w:val="44"/>
      <w:szCs w:val="24"/>
    </w:rPr>
  </w:style>
  <w:style w:type="character" w:customStyle="1" w:styleId="2Char">
    <w:name w:val="标题 2 Char"/>
    <w:basedOn w:val="a0"/>
    <w:link w:val="2"/>
    <w:rsid w:val="00AE588A"/>
    <w:rPr>
      <w:rFonts w:ascii="Arial" w:eastAsia="黑体" w:hAnsi="Arial" w:cs="Times New Roman"/>
      <w:b/>
      <w:sz w:val="32"/>
      <w:szCs w:val="24"/>
    </w:rPr>
  </w:style>
  <w:style w:type="paragraph" w:styleId="a3">
    <w:name w:val="header"/>
    <w:basedOn w:val="a"/>
    <w:link w:val="Char"/>
    <w:rsid w:val="00AE5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588A"/>
    <w:rPr>
      <w:rFonts w:ascii="Times New Roman" w:eastAsia="宋体" w:hAnsi="Times New Roman" w:cs="Times New Roman"/>
      <w:sz w:val="18"/>
      <w:szCs w:val="18"/>
    </w:rPr>
  </w:style>
  <w:style w:type="paragraph" w:styleId="a4">
    <w:name w:val="Document Map"/>
    <w:basedOn w:val="a"/>
    <w:link w:val="Char0"/>
    <w:uiPriority w:val="99"/>
    <w:semiHidden/>
    <w:unhideWhenUsed/>
    <w:rsid w:val="00AE588A"/>
    <w:rPr>
      <w:rFonts w:ascii="宋体"/>
      <w:sz w:val="18"/>
      <w:szCs w:val="18"/>
    </w:rPr>
  </w:style>
  <w:style w:type="character" w:customStyle="1" w:styleId="Char0">
    <w:name w:val="文档结构图 Char"/>
    <w:basedOn w:val="a0"/>
    <w:link w:val="a4"/>
    <w:uiPriority w:val="99"/>
    <w:semiHidden/>
    <w:rsid w:val="00AE588A"/>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410</Words>
  <Characters>2341</Characters>
  <Application>Microsoft Office Word</Application>
  <DocSecurity>0</DocSecurity>
  <Lines>19</Lines>
  <Paragraphs>5</Paragraphs>
  <ScaleCrop>false</ScaleCrop>
  <Company>微软中国</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2025-10-30T01:32:00Z</dcterms:created>
  <dcterms:modified xsi:type="dcterms:W3CDTF">2025-10-30T01:34:00Z</dcterms:modified>
</cp:coreProperties>
</file>